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Beneficiamento manual de rochas para produção de paralelepípedos e outros artefatos artesanais.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FCE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</w:t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 xml:space="preserve">IV.8 </w:t>
      </w:r>
      <w:r>
        <w:rPr>
          <w:i/>
        </w:rPr>
        <w:t>Possui depósito para armazenamento de produtos perigosos (aditivos, desmoldantes e outros)?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59"/>
        <w:gridCol w:w="659"/>
        <w:gridCol w:w="944"/>
        <w:gridCol w:w="1357"/>
        <w:gridCol w:w="944"/>
        <w:gridCol w:w="1432"/>
        <w:gridCol w:w="896"/>
        <w:gridCol w:w="739"/>
        <w:gridCol w:w="1077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434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  <w:caps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 (rejeitos,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="Calibri" w:hAnsi="Calibri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/>
          <w:sz w:val="22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Calibri" w:hAnsi="Calibri" w:cs="Arial" w:asciiTheme="minorHAnsi" w:hAnsiTheme="minorHAnsi"/>
          <w:b/>
          <w:b/>
          <w:sz w:val="22"/>
          <w:szCs w:val="20"/>
        </w:rPr>
      </w:pPr>
      <w:r>
        <w:rPr>
          <w:rFonts w:cs="Arial" w:ascii="Calibri" w:hAnsi="Calibri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Arial" w:asciiTheme="minorHAnsi" w:hAnsiTheme="minorHAnsi"/>
          <w:sz w:val="22"/>
          <w:szCs w:val="20"/>
        </w:rPr>
      </w:pPr>
      <w:r>
        <w:rPr>
          <w:rFonts w:cs="Arial" w:ascii="Calibri" w:hAnsi="Calibri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Processo produtivo gerador de emissões atmosféricas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 do setor onde é realizada a atividade produtiva: (   )totalmente fechada;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   ) parcialmente fechada; (   )parcialmente aberta;    (   ) aberta;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Barreiras físicas de contenção: (   ) em todo o entorno; (   ) parcial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 )parcial; (   )total;  (   )sem cobertura.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99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99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Controles adotados</w:t>
      </w:r>
    </w:p>
    <w:p>
      <w:pPr>
        <w:pStyle w:val="ListParagraph"/>
        <w:spacing w:lineRule="auto" w:line="360"/>
        <w:ind w:left="99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Emissão de Ruídos: 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possua, responda os itens a seguir:</w:t>
      </w:r>
    </w:p>
    <w:p>
      <w:pPr>
        <w:pStyle w:val="ListParagraph"/>
        <w:numPr>
          <w:ilvl w:val="0"/>
          <w:numId w:val="6"/>
        </w:numPr>
        <w:spacing w:lineRule="auto" w:line="360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6"/>
        </w:numPr>
        <w:spacing w:lineRule="auto" w:line="360"/>
        <w:ind w:left="113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redução de ruído:  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eastAsia="Calibri" w:cs="Arial" w:eastAsiaTheme="minorHAnsi"/>
          <w:b/>
          <w:b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b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 w:eastAsiaTheme="minorHAnsi"/>
          <w:sz w:val="20"/>
          <w:szCs w:val="16"/>
          <w:lang w:eastAsia="en-US"/>
        </w:rPr>
      </w:pPr>
      <w:r>
        <w:rPr>
          <w:rFonts w:cs="Arial" w:ascii="Arial" w:hAnsi="Arial"/>
          <w:sz w:val="20"/>
          <w:szCs w:val="16"/>
        </w:rPr>
        <w:t xml:space="preserve">Data:     /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  <w:softHyphen/>
        <w:softHyphen/>
        <w:softHyphen/>
        <w:softHyphen/>
        <w:softHyphen/>
        <w:t xml:space="preserve">     Responsável técnico            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16"/>
          <w:szCs w:val="16"/>
        </w:rPr>
        <w:t>ATENÇÃO: Todas as páginas deste documento deverão ser assinadas.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4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8.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4625b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auto"/>
      <w:sz w:val="22"/>
    </w:rPr>
  </w:style>
  <w:style w:type="character" w:styleId="ListLabel15">
    <w:name w:val="ListLabel 15"/>
    <w:qFormat/>
    <w:rPr>
      <w:rFonts w:ascii="Arial" w:hAnsi="Arial"/>
      <w:color w:val="auto"/>
      <w:sz w:val="20"/>
    </w:rPr>
  </w:style>
  <w:style w:type="character" w:styleId="ListLabel16">
    <w:name w:val="ListLabel 16"/>
    <w:qFormat/>
    <w:rPr>
      <w:rFonts w:ascii="Arial" w:hAnsi="Arial"/>
      <w:b/>
      <w:sz w:val="2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ascii="Arial" w:hAnsi="Arial"/>
      <w:b/>
      <w:sz w:val="2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4625b7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4625b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7AF2-52CA-4B34-A1AE-ED03479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LibreOffice/6.2.7.1$Windows_X86_64 LibreOffice_project/23edc44b61b830b7d749943e020e96f5a7df63bf</Application>
  <Pages>16</Pages>
  <Words>2704</Words>
  <Characters>30081</Characters>
  <CharactersWithSpaces>33504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dc:description/>
  <dc:language>pt-BR</dc:language>
  <cp:lastModifiedBy/>
  <dcterms:modified xsi:type="dcterms:W3CDTF">2021-04-14T14:36:45Z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